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E5" w:rsidRDefault="00D001E5" w:rsidP="00D001E5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D001E5" w:rsidRPr="00E16F49" w:rsidRDefault="00D001E5" w:rsidP="00D001E5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برگزاری اولین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D001E5" w:rsidRDefault="00D001E5" w:rsidP="00D001E5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به انجام نوآوری و اجرای فعالیتهای پژوهشی و همچنین فعالیتهای حرفه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ای پژوهشی دانشجویان 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معاونت پژوهشی دانشگاه فرهنگیان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 از 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پژوهشی موفقیت</w:t>
      </w:r>
      <w:r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>
        <w:rPr>
          <w:rFonts w:ascii="BYekan" w:hAnsi="BYekan" w:cs="B Nazanin" w:hint="cs"/>
          <w:color w:val="000000"/>
          <w:sz w:val="28"/>
          <w:szCs w:val="28"/>
          <w:rtl/>
        </w:rPr>
        <w:softHyphen/>
        <w:t xml:space="preserve">اند 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برنامه ، موجبات غنای هر جه بیشتر اجرای این جشنواره را فراهم آورند.</w:t>
      </w:r>
    </w:p>
    <w:p w:rsidR="00D001E5" w:rsidRPr="00214B12" w:rsidRDefault="00D001E5" w:rsidP="00D001E5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D001E5" w:rsidRPr="00E16F49" w:rsidRDefault="00D001E5" w:rsidP="00D001E5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D001E5" w:rsidRDefault="00D001E5" w:rsidP="00D001E5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D001E5" w:rsidRPr="00E16F49" w:rsidRDefault="00D001E5" w:rsidP="00D001E5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D001E5" w:rsidRDefault="00D001E5" w:rsidP="00D001E5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D001E5" w:rsidRPr="00E16F49" w:rsidRDefault="00D001E5" w:rsidP="00D001E5">
      <w:pPr>
        <w:pStyle w:val="ListParagraph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زمینه سازی برای تعامل و همکاری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D001E5" w:rsidRDefault="00D001E5" w:rsidP="00D001E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D001E5" w:rsidRDefault="00D001E5" w:rsidP="00D001E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D001E5" w:rsidRPr="00547C4D" w:rsidRDefault="00D001E5" w:rsidP="00D001E5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D001E5" w:rsidRPr="00983AEB" w:rsidRDefault="00D001E5" w:rsidP="00D001E5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 کارشناسی و کارشناسی ارشد</w:t>
      </w:r>
    </w:p>
    <w:p w:rsidR="00D001E5" w:rsidRPr="0095219F" w:rsidRDefault="00D001E5" w:rsidP="00D001E5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D001E5" w:rsidRDefault="00D001E5" w:rsidP="00D001E5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نفرات برتر مسابقات سه گانه(پویش تابستانه)</w:t>
      </w:r>
    </w:p>
    <w:p w:rsidR="00D001E5" w:rsidRPr="0095219F" w:rsidRDefault="00D001E5" w:rsidP="00D001E5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افرادی که طبق بند2 ماده 1 شرایط انتخاب، امتیاز لازم را کسب کرده باشند.</w:t>
      </w:r>
    </w:p>
    <w:p w:rsidR="00D001E5" w:rsidRPr="005F6DF0" w:rsidRDefault="00D001E5" w:rsidP="00D001E5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D001E5" w:rsidRPr="00983AEB" w:rsidRDefault="00D001E5" w:rsidP="00D001E5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حداکثر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 ماه و اجرای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 آذر ماه و در استان یزد خواهد بود .</w:t>
      </w:r>
    </w:p>
    <w:p w:rsidR="00D001E5" w:rsidRDefault="00D001E5" w:rsidP="00D001E5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D001E5" w:rsidRPr="00983AEB" w:rsidRDefault="00D001E5" w:rsidP="00D001E5">
      <w:pPr>
        <w:pStyle w:val="ListParagraph"/>
        <w:numPr>
          <w:ilvl w:val="0"/>
          <w:numId w:val="5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D001E5" w:rsidRPr="00F5404A" w:rsidRDefault="00D001E5" w:rsidP="00D001E5">
      <w:pPr>
        <w:pStyle w:val="ListParagraph"/>
        <w:numPr>
          <w:ilvl w:val="0"/>
          <w:numId w:val="5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فعالیتهاي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755D65" w:rsidRDefault="00D001E5" w:rsidP="00D001E5">
      <w:pPr>
        <w:pStyle w:val="ListParagraph"/>
        <w:numPr>
          <w:ilvl w:val="0"/>
          <w:numId w:val="5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 ضروري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است تا از طرف استان برای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D001E5" w:rsidRPr="00DA1562" w:rsidRDefault="00D001E5" w:rsidP="00D001E5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D001E5" w:rsidRPr="00E16F49" w:rsidRDefault="00D001E5" w:rsidP="00D001E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شیوه نامه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E16F49" w:rsidRDefault="00D001E5" w:rsidP="00D001E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E16F49" w:rsidRDefault="00D001E5" w:rsidP="00D001E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E16F49" w:rsidRDefault="00D001E5" w:rsidP="00D001E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DB2569" w:rsidRDefault="00D001E5" w:rsidP="00D001E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4: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001E5" w:rsidRPr="00B416D4" w:rsidRDefault="00D001E5" w:rsidP="00D001E5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D001E5" w:rsidRPr="00E16F49" w:rsidRDefault="00D001E5" w:rsidP="00D001E5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D001E5" w:rsidRPr="00E16F49" w:rsidRDefault="00D001E5" w:rsidP="00D001E5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نامه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تحویل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 پژوهش محل تحصیل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D001E5" w:rsidRDefault="00D001E5" w:rsidP="00D001E5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-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 مدارك وگزارش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نامه درکارشناسی پژوهشی و دریافت تأیید افراد نهایی با معرفی به سازمان مرکزی (هر استان حداکثر 6 نفر دختر و 6 نفر پسر بر اساس بالاترین امتیازات استانی)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D001E5" w:rsidRPr="00983AEB" w:rsidRDefault="00D001E5" w:rsidP="00D001E5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D001E5" w:rsidRPr="00E16F49" w:rsidRDefault="00D001E5" w:rsidP="00D001E5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D001E5" w:rsidRPr="0084593E" w:rsidRDefault="00D001E5" w:rsidP="00D001E5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>
        <w:rPr>
          <w:rFonts w:cs="B Nazanin" w:hint="cs"/>
          <w:sz w:val="28"/>
          <w:szCs w:val="28"/>
          <w:rtl/>
          <w:lang w:bidi="fa-IR"/>
        </w:rPr>
        <w:t>،</w:t>
      </w:r>
    </w:p>
    <w:p w:rsidR="00D001E5" w:rsidRPr="00E16F49" w:rsidRDefault="00D001E5" w:rsidP="00D001E5">
      <w:pPr>
        <w:pStyle w:val="ListParagraph"/>
        <w:numPr>
          <w:ilvl w:val="0"/>
          <w:numId w:val="3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D001E5" w:rsidRPr="00E16F49" w:rsidRDefault="00D001E5" w:rsidP="00D001E5">
      <w:pPr>
        <w:pStyle w:val="ListParagraph"/>
        <w:numPr>
          <w:ilvl w:val="0"/>
          <w:numId w:val="3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lastRenderedPageBreak/>
        <w:t>انتشار كتاب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D001E5" w:rsidRPr="00E16F49" w:rsidRDefault="00D001E5" w:rsidP="00D001E5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D001E5" w:rsidRPr="00E16F49" w:rsidRDefault="00D001E5" w:rsidP="00D001E5">
      <w:pPr>
        <w:pStyle w:val="ListParagraph"/>
        <w:numPr>
          <w:ilvl w:val="0"/>
          <w:numId w:val="3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Pr="00E35D0E">
        <w:rPr>
          <w:rFonts w:cs="B Nazanin" w:hint="cs"/>
          <w:sz w:val="28"/>
          <w:szCs w:val="28"/>
          <w:rtl/>
        </w:rPr>
        <w:t>،</w:t>
      </w:r>
    </w:p>
    <w:p w:rsidR="00D001E5" w:rsidRDefault="00D001E5" w:rsidP="00D001E5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1: </w:t>
      </w:r>
      <w:r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D001E5" w:rsidRDefault="00D001E5" w:rsidP="00D001E5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D001E5" w:rsidRPr="00BC5CD0" w:rsidRDefault="00D001E5" w:rsidP="00D001E5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D001E5" w:rsidRPr="00BC5CD0" w:rsidRDefault="00D001E5" w:rsidP="00D001E5">
      <w:pPr>
        <w:pStyle w:val="ListParagraph"/>
        <w:numPr>
          <w:ilvl w:val="0"/>
          <w:numId w:val="3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D001E5" w:rsidRPr="00BC5CD0" w:rsidRDefault="00D001E5" w:rsidP="00D001E5">
      <w:pPr>
        <w:pStyle w:val="ListParagraph"/>
        <w:numPr>
          <w:ilvl w:val="0"/>
          <w:numId w:val="3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D001E5" w:rsidRPr="00BC5CD0" w:rsidRDefault="00D001E5" w:rsidP="00D001E5">
      <w:pPr>
        <w:pStyle w:val="ListParagraph"/>
        <w:numPr>
          <w:ilvl w:val="0"/>
          <w:numId w:val="3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>
        <w:rPr>
          <w:rFonts w:cs="B Nazanin" w:hint="cs"/>
          <w:sz w:val="28"/>
          <w:szCs w:val="28"/>
          <w:rtl/>
          <w:lang w:bidi="fa-IR"/>
        </w:rPr>
        <w:t>،</w:t>
      </w:r>
    </w:p>
    <w:p w:rsidR="00D001E5" w:rsidRPr="00E16F49" w:rsidRDefault="00D001E5" w:rsidP="00D001E5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گردند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D001E5" w:rsidRPr="00556D84" w:rsidRDefault="00D001E5" w:rsidP="00D001E5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به دانشجویان</w:t>
      </w: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D001E5" w:rsidRDefault="00D001E5" w:rsidP="00D001E5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D001E5" w:rsidRPr="00E16F49" w:rsidRDefault="00D001E5" w:rsidP="00D001E5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D001E5" w:rsidRPr="00E16F49" w:rsidTr="00A26A78">
        <w:tc>
          <w:tcPr>
            <w:tcW w:w="1078" w:type="dxa"/>
            <w:vMerge w:val="restart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D001E5" w:rsidRPr="00E16F49" w:rsidTr="00A26A78">
        <w:tc>
          <w:tcPr>
            <w:tcW w:w="1078" w:type="dxa"/>
            <w:vMerge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D001E5" w:rsidRPr="00E16F49" w:rsidTr="00A26A78"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D001E5" w:rsidRPr="00E16F49" w:rsidTr="00A26A78"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D001E5" w:rsidRPr="00E16F49" w:rsidTr="00A26A78"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D001E5" w:rsidRPr="00E16F49" w:rsidTr="00A26A78"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D001E5" w:rsidRPr="00E16F49" w:rsidTr="00A26A78">
        <w:trPr>
          <w:trHeight w:val="254"/>
        </w:trPr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D001E5" w:rsidRPr="00E16F49" w:rsidTr="00A26A78">
        <w:tc>
          <w:tcPr>
            <w:tcW w:w="1078" w:type="dxa"/>
            <w:vAlign w:val="center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D001E5" w:rsidRPr="00E16F49" w:rsidRDefault="00D001E5" w:rsidP="00A26A78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D001E5" w:rsidRPr="00E16F49" w:rsidRDefault="00D001E5" w:rsidP="00D001E5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D001E5" w:rsidRPr="00E16F49" w:rsidRDefault="00D001E5" w:rsidP="00D001E5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D001E5" w:rsidRDefault="00D001E5" w:rsidP="00D001E5">
      <w:pPr>
        <w:pStyle w:val="ListParagraph"/>
        <w:numPr>
          <w:ilvl w:val="0"/>
          <w:numId w:val="2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D001E5" w:rsidRPr="007262AF" w:rsidRDefault="00D001E5" w:rsidP="00D001E5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8872" w:type="dxa"/>
        <w:tblInd w:w="630" w:type="dxa"/>
        <w:tblLook w:val="04A0" w:firstRow="1" w:lastRow="0" w:firstColumn="1" w:lastColumn="0" w:noHBand="0" w:noVBand="1"/>
      </w:tblPr>
      <w:tblGrid>
        <w:gridCol w:w="958"/>
        <w:gridCol w:w="3884"/>
        <w:gridCol w:w="781"/>
        <w:gridCol w:w="1315"/>
        <w:gridCol w:w="1934"/>
      </w:tblGrid>
      <w:tr w:rsidR="00D001E5" w:rsidRPr="008A09C3" w:rsidTr="00D001E5">
        <w:tc>
          <w:tcPr>
            <w:tcW w:w="958" w:type="dxa"/>
          </w:tcPr>
          <w:p w:rsidR="00D001E5" w:rsidRPr="008A09C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D001E5" w:rsidRPr="008A09C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2096" w:type="dxa"/>
            <w:gridSpan w:val="2"/>
          </w:tcPr>
          <w:p w:rsidR="00D001E5" w:rsidRPr="008A09C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D001E5" w:rsidRPr="008A09C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D001E5" w:rsidRPr="001C0CE1" w:rsidRDefault="00D001E5" w:rsidP="00A26A78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D001E5" w:rsidRPr="00241F09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D001E5" w:rsidRPr="001C0CE1" w:rsidRDefault="00D001E5" w:rsidP="00A26A78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D001E5" w:rsidRPr="00241F09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D001E5" w:rsidRPr="00241F09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D001E5" w:rsidRPr="00241F09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D001E5" w:rsidRPr="00241F09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D001E5" w:rsidTr="00D001E5">
        <w:trPr>
          <w:trHeight w:val="662"/>
        </w:trPr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884" w:type="dxa"/>
          </w:tcPr>
          <w:p w:rsidR="00D001E5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D001E5" w:rsidTr="00D001E5">
        <w:trPr>
          <w:trHeight w:val="592"/>
        </w:trPr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D001E5" w:rsidRPr="00175C32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2096" w:type="dxa"/>
            <w:gridSpan w:val="2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D001E5" w:rsidRPr="00175C32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2096" w:type="dxa"/>
            <w:gridSpan w:val="2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D001E5" w:rsidRPr="00175C32" w:rsidRDefault="00D001E5" w:rsidP="00A26A78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2096" w:type="dxa"/>
            <w:gridSpan w:val="2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Pr="00175C32" w:rsidRDefault="00D001E5" w:rsidP="00A26A78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2096" w:type="dxa"/>
            <w:gridSpan w:val="2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2096" w:type="dxa"/>
            <w:gridSpan w:val="2"/>
          </w:tcPr>
          <w:p w:rsidR="00D001E5" w:rsidRPr="00973D4B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2096" w:type="dxa"/>
            <w:gridSpan w:val="2"/>
          </w:tcPr>
          <w:p w:rsidR="00D001E5" w:rsidRPr="0094767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2096" w:type="dxa"/>
            <w:gridSpan w:val="2"/>
          </w:tcPr>
          <w:p w:rsidR="00D001E5" w:rsidRPr="00947673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3884" w:type="dxa"/>
          </w:tcPr>
          <w:p w:rsidR="00D001E5" w:rsidRPr="00175C32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2096" w:type="dxa"/>
            <w:gridSpan w:val="2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D001E5" w:rsidTr="00D001E5">
        <w:tc>
          <w:tcPr>
            <w:tcW w:w="958" w:type="dxa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D001E5" w:rsidRPr="00175C32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2096" w:type="dxa"/>
            <w:gridSpan w:val="2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D001E5" w:rsidRPr="00175C32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D001E5" w:rsidTr="00D001E5">
        <w:trPr>
          <w:trHeight w:val="240"/>
        </w:trPr>
        <w:tc>
          <w:tcPr>
            <w:tcW w:w="958" w:type="dxa"/>
            <w:vMerge w:val="restart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315" w:type="dxa"/>
            <w:tcBorders>
              <w:left w:val="single" w:sz="4" w:space="0" w:color="auto"/>
              <w:bottom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D001E5" w:rsidTr="00D001E5">
        <w:trPr>
          <w:trHeight w:val="195"/>
        </w:trPr>
        <w:tc>
          <w:tcPr>
            <w:tcW w:w="958" w:type="dxa"/>
            <w:vMerge/>
          </w:tcPr>
          <w:p w:rsidR="00D001E5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001E5" w:rsidTr="00D001E5">
        <w:trPr>
          <w:trHeight w:val="135"/>
        </w:trPr>
        <w:tc>
          <w:tcPr>
            <w:tcW w:w="958" w:type="dxa"/>
            <w:vMerge/>
          </w:tcPr>
          <w:p w:rsidR="00D001E5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D001E5" w:rsidRPr="001C0CE1" w:rsidRDefault="00D001E5" w:rsidP="00A26A78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</w:tcPr>
          <w:p w:rsidR="00D001E5" w:rsidRPr="00973D4B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D001E5" w:rsidRDefault="00D001E5" w:rsidP="00A26A78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D001E5" w:rsidRDefault="00D001E5" w:rsidP="00D001E5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D001E5" w:rsidRPr="00E16F49" w:rsidRDefault="00D001E5" w:rsidP="00D001E5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p w:rsidR="0099310B" w:rsidRDefault="0099310B"/>
    <w:sectPr w:rsidR="0099310B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E5"/>
    <w:rsid w:val="0033636D"/>
    <w:rsid w:val="0099310B"/>
    <w:rsid w:val="00D0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E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E5"/>
    <w:pPr>
      <w:ind w:left="720"/>
      <w:contextualSpacing/>
    </w:pPr>
  </w:style>
  <w:style w:type="table" w:styleId="TableGrid">
    <w:name w:val="Table Grid"/>
    <w:basedOn w:val="TableNormal"/>
    <w:uiPriority w:val="59"/>
    <w:rsid w:val="00D001E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E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1E5"/>
    <w:pPr>
      <w:ind w:left="720"/>
      <w:contextualSpacing/>
    </w:pPr>
  </w:style>
  <w:style w:type="table" w:styleId="TableGrid">
    <w:name w:val="Table Grid"/>
    <w:basedOn w:val="TableNormal"/>
    <w:uiPriority w:val="59"/>
    <w:rsid w:val="00D001E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PC</dc:creator>
  <cp:lastModifiedBy>JP PC</cp:lastModifiedBy>
  <cp:revision>1</cp:revision>
  <dcterms:created xsi:type="dcterms:W3CDTF">2016-07-26T16:51:00Z</dcterms:created>
  <dcterms:modified xsi:type="dcterms:W3CDTF">2016-07-26T16:53:00Z</dcterms:modified>
</cp:coreProperties>
</file>